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17EA" w14:textId="2421A8E4" w:rsidR="004B2235" w:rsidRPr="00966EAF" w:rsidRDefault="004B2235" w:rsidP="004B2235">
      <w:pPr>
        <w:jc w:val="center"/>
        <w:rPr>
          <w:b/>
          <w:bCs/>
        </w:rPr>
      </w:pPr>
      <w:r w:rsidRPr="00966EAF">
        <w:rPr>
          <w:b/>
          <w:bCs/>
        </w:rPr>
        <w:t xml:space="preserve">ASCC Arts and Humanities II Subcommittee </w:t>
      </w:r>
    </w:p>
    <w:p w14:paraId="00CA0187" w14:textId="4D8D02DA" w:rsidR="004B2235" w:rsidRPr="00966EAF" w:rsidRDefault="004B2235" w:rsidP="004B2235">
      <w:pPr>
        <w:jc w:val="center"/>
      </w:pPr>
      <w:r w:rsidRPr="00966EAF">
        <w:t>Draft Minutes</w:t>
      </w:r>
    </w:p>
    <w:p w14:paraId="36E260D3" w14:textId="4D8CF62C" w:rsidR="004B2235" w:rsidRPr="00966EAF" w:rsidRDefault="004B2235" w:rsidP="004B2235">
      <w:r w:rsidRPr="00966EAF">
        <w:t>Tuesday, September 2</w:t>
      </w:r>
      <w:r w:rsidRPr="00966EAF">
        <w:rPr>
          <w:vertAlign w:val="superscript"/>
        </w:rPr>
        <w:t>nd</w:t>
      </w:r>
      <w:r w:rsidRPr="00966EAF">
        <w:t>, 2025</w:t>
      </w:r>
      <w:r w:rsidRPr="00966EAF">
        <w:tab/>
      </w:r>
      <w:r w:rsidRPr="00966EAF">
        <w:tab/>
      </w:r>
      <w:r w:rsidRPr="00966EAF">
        <w:tab/>
      </w:r>
      <w:r w:rsidRPr="00966EAF">
        <w:tab/>
      </w:r>
      <w:r w:rsidRPr="00966EAF">
        <w:tab/>
      </w:r>
      <w:r w:rsidRPr="00966EAF">
        <w:tab/>
        <w:t xml:space="preserve">     12:30PM – 2:00PM</w:t>
      </w:r>
    </w:p>
    <w:p w14:paraId="2D2AF988" w14:textId="2B1054CE" w:rsidR="004B2235" w:rsidRPr="00966EAF" w:rsidRDefault="004B2235" w:rsidP="004B2235">
      <w:r w:rsidRPr="00966EAF">
        <w:t>CarmenZoom</w:t>
      </w:r>
    </w:p>
    <w:p w14:paraId="2713FB07" w14:textId="2C923243" w:rsidR="004B2235" w:rsidRPr="00966EAF" w:rsidRDefault="004B2235" w:rsidP="004B2235">
      <w:r w:rsidRPr="00966EAF">
        <w:rPr>
          <w:b/>
          <w:bCs/>
        </w:rPr>
        <w:t xml:space="preserve">Attendees: </w:t>
      </w:r>
      <w:r w:rsidRPr="00966EAF">
        <w:t>Acuff, Bitters, Hilty, Martinez, Mick, Staley, Troyan, Vankeerbergen</w:t>
      </w:r>
    </w:p>
    <w:p w14:paraId="3339E30D" w14:textId="36835234" w:rsidR="004B2235" w:rsidRPr="00966EAF" w:rsidRDefault="004B2235" w:rsidP="004B2235">
      <w:pPr>
        <w:pStyle w:val="ListParagraph"/>
        <w:numPr>
          <w:ilvl w:val="0"/>
          <w:numId w:val="1"/>
        </w:numPr>
      </w:pPr>
      <w:r w:rsidRPr="00966EAF">
        <w:t>Approval of 08/19/2025 Minutes</w:t>
      </w:r>
    </w:p>
    <w:p w14:paraId="712A07A7" w14:textId="6B6B5551" w:rsidR="004B2235" w:rsidRPr="00966EAF" w:rsidRDefault="004B2235" w:rsidP="004B2235">
      <w:pPr>
        <w:pStyle w:val="ListParagraph"/>
        <w:numPr>
          <w:ilvl w:val="1"/>
          <w:numId w:val="1"/>
        </w:numPr>
      </w:pPr>
      <w:r w:rsidRPr="00966EAF">
        <w:t xml:space="preserve">Troyan, Acuff, </w:t>
      </w:r>
      <w:r w:rsidRPr="00966EAF">
        <w:rPr>
          <w:b/>
          <w:bCs/>
        </w:rPr>
        <w:t xml:space="preserve">unanimously approved </w:t>
      </w:r>
    </w:p>
    <w:p w14:paraId="2BC7C589" w14:textId="70FA4BF1" w:rsidR="004B2235" w:rsidRPr="00966EAF" w:rsidRDefault="004B2235" w:rsidP="004B2235">
      <w:pPr>
        <w:pStyle w:val="ListParagraph"/>
        <w:numPr>
          <w:ilvl w:val="0"/>
          <w:numId w:val="1"/>
        </w:numPr>
      </w:pPr>
      <w:r w:rsidRPr="00966EAF">
        <w:t xml:space="preserve">New Certificate – AI Language and Mind Certificate (type 1a, 1b, and 2) </w:t>
      </w:r>
    </w:p>
    <w:p w14:paraId="37CBDA1A" w14:textId="42434591" w:rsidR="004B2235" w:rsidRPr="00966EAF" w:rsidRDefault="0019651B" w:rsidP="004B2235">
      <w:pPr>
        <w:pStyle w:val="ListParagraph"/>
        <w:numPr>
          <w:ilvl w:val="1"/>
          <w:numId w:val="1"/>
        </w:numPr>
      </w:pPr>
      <w:r w:rsidRPr="00966EAF">
        <w:rPr>
          <w:b/>
          <w:bCs/>
        </w:rPr>
        <w:t xml:space="preserve">Contingency: </w:t>
      </w:r>
      <w:r w:rsidR="007E1445" w:rsidRPr="00966EAF">
        <w:t xml:space="preserve">The Subcommittee asks that the proposing unit either seek concurrence from the following units or upload documentation of concurrences sought: </w:t>
      </w:r>
    </w:p>
    <w:p w14:paraId="3F7F25D9" w14:textId="689F4739" w:rsidR="007E1445" w:rsidRPr="00966EAF" w:rsidRDefault="007E1445" w:rsidP="007E1445">
      <w:pPr>
        <w:pStyle w:val="ListParagraph"/>
        <w:numPr>
          <w:ilvl w:val="2"/>
          <w:numId w:val="1"/>
        </w:numPr>
      </w:pPr>
      <w:r w:rsidRPr="00966EAF">
        <w:t>Comparative Studies</w:t>
      </w:r>
    </w:p>
    <w:p w14:paraId="59B96029" w14:textId="5ADE6800" w:rsidR="007E1445" w:rsidRPr="00966EAF" w:rsidRDefault="007E1445" w:rsidP="007E1445">
      <w:pPr>
        <w:pStyle w:val="ListParagraph"/>
        <w:numPr>
          <w:ilvl w:val="2"/>
          <w:numId w:val="1"/>
        </w:numPr>
      </w:pPr>
      <w:r w:rsidRPr="00966EAF">
        <w:t xml:space="preserve">Computer Science and Engineering </w:t>
      </w:r>
    </w:p>
    <w:p w14:paraId="7ACBC2E5" w14:textId="361DC4F8" w:rsidR="007E1445" w:rsidRPr="00966EAF" w:rsidRDefault="007E1445" w:rsidP="007E1445">
      <w:pPr>
        <w:pStyle w:val="ListParagraph"/>
        <w:numPr>
          <w:ilvl w:val="2"/>
          <w:numId w:val="1"/>
        </w:numPr>
      </w:pPr>
      <w:r w:rsidRPr="00966EAF">
        <w:t>ACCAD</w:t>
      </w:r>
    </w:p>
    <w:p w14:paraId="1BEEFCDA" w14:textId="52AB3FC9" w:rsidR="007E1445" w:rsidRPr="00966EAF" w:rsidRDefault="007E1445" w:rsidP="007E1445">
      <w:pPr>
        <w:pStyle w:val="ListParagraph"/>
        <w:numPr>
          <w:ilvl w:val="2"/>
          <w:numId w:val="1"/>
        </w:numPr>
      </w:pPr>
      <w:r w:rsidRPr="00966EAF">
        <w:t>Geography</w:t>
      </w:r>
    </w:p>
    <w:p w14:paraId="31B0F72C" w14:textId="47A7FC86" w:rsidR="007E1445" w:rsidRPr="00966EAF" w:rsidRDefault="007E1445" w:rsidP="007E1445">
      <w:pPr>
        <w:pStyle w:val="ListParagraph"/>
        <w:numPr>
          <w:ilvl w:val="2"/>
          <w:numId w:val="1"/>
        </w:numPr>
      </w:pPr>
      <w:r w:rsidRPr="00966EAF">
        <w:t xml:space="preserve">Psychology </w:t>
      </w:r>
    </w:p>
    <w:p w14:paraId="25E04C0B" w14:textId="43E0DBDF" w:rsidR="007E1445" w:rsidRPr="00966EAF" w:rsidRDefault="0019651B" w:rsidP="007E1445">
      <w:pPr>
        <w:pStyle w:val="ListParagraph"/>
        <w:numPr>
          <w:ilvl w:val="1"/>
          <w:numId w:val="1"/>
        </w:numPr>
      </w:pPr>
      <w:r w:rsidRPr="00966EAF">
        <w:rPr>
          <w:b/>
          <w:bCs/>
        </w:rPr>
        <w:t>Contingency:</w:t>
      </w:r>
      <w:r w:rsidRPr="00966EAF">
        <w:t xml:space="preserve"> </w:t>
      </w:r>
      <w:r w:rsidR="007E1445" w:rsidRPr="00966EAF">
        <w:t xml:space="preserve">The Subcommittee asks that the certificate proposal include a section on the workforce development opportunities and impact of the </w:t>
      </w:r>
      <w:r w:rsidR="002744ED" w:rsidRPr="00966EAF">
        <w:t>new certificate</w:t>
      </w:r>
      <w:r w:rsidR="007E1445" w:rsidRPr="00966EAF">
        <w:t>.</w:t>
      </w:r>
      <w:r w:rsidR="007E1445" w:rsidRPr="00966EAF">
        <w:rPr>
          <w:b/>
          <w:bCs/>
        </w:rPr>
        <w:t xml:space="preserve"> </w:t>
      </w:r>
    </w:p>
    <w:p w14:paraId="2053258E" w14:textId="3CECDFA9" w:rsidR="000B341C" w:rsidRPr="00966EAF" w:rsidRDefault="0019651B" w:rsidP="007E1445">
      <w:pPr>
        <w:pStyle w:val="ListParagraph"/>
        <w:numPr>
          <w:ilvl w:val="1"/>
          <w:numId w:val="1"/>
        </w:numPr>
      </w:pPr>
      <w:r w:rsidRPr="00966EAF">
        <w:rPr>
          <w:b/>
          <w:bCs/>
        </w:rPr>
        <w:t xml:space="preserve">Contingency: </w:t>
      </w:r>
      <w:r w:rsidR="000B341C" w:rsidRPr="00966EAF">
        <w:t xml:space="preserve">The Subcommittee asks that the certificate proposal include a section explaining how all three </w:t>
      </w:r>
      <w:r w:rsidR="002744ED" w:rsidRPr="00966EAF">
        <w:t xml:space="preserve">AI </w:t>
      </w:r>
      <w:r w:rsidR="000B341C" w:rsidRPr="00966EAF">
        <w:t xml:space="preserve">certificates </w:t>
      </w:r>
      <w:r w:rsidR="002744ED" w:rsidRPr="00966EAF">
        <w:t xml:space="preserve">in ASC </w:t>
      </w:r>
      <w:r w:rsidR="000B341C" w:rsidRPr="00966EAF">
        <w:t>will be connected to one another.</w:t>
      </w:r>
      <w:r w:rsidR="000B341C" w:rsidRPr="00966EAF">
        <w:rPr>
          <w:b/>
          <w:bCs/>
        </w:rPr>
        <w:t xml:space="preserve"> </w:t>
      </w:r>
    </w:p>
    <w:p w14:paraId="4E4CD3F1" w14:textId="4F1C8C61" w:rsidR="007E1445" w:rsidRPr="00966EAF" w:rsidRDefault="0019651B" w:rsidP="007E1445">
      <w:pPr>
        <w:pStyle w:val="ListParagraph"/>
        <w:numPr>
          <w:ilvl w:val="1"/>
          <w:numId w:val="1"/>
        </w:numPr>
      </w:pPr>
      <w:r w:rsidRPr="00966EAF">
        <w:rPr>
          <w:b/>
          <w:bCs/>
        </w:rPr>
        <w:t xml:space="preserve">Contingency: </w:t>
      </w:r>
      <w:r w:rsidR="007E1445" w:rsidRPr="00966EAF">
        <w:t xml:space="preserve">The Subcommittee asks that information about the </w:t>
      </w:r>
      <w:proofErr w:type="spellStart"/>
      <w:r w:rsidR="007E1445" w:rsidRPr="00966EAF">
        <w:t>PebblePad</w:t>
      </w:r>
      <w:proofErr w:type="spellEnd"/>
      <w:r w:rsidR="007E1445" w:rsidRPr="00966EAF">
        <w:t xml:space="preserve"> workbooks and reflections (which appear to act as a capstone requirement for the certificate) be added to the advising sheet and the certificate complet</w:t>
      </w:r>
      <w:r w:rsidR="002067E7" w:rsidRPr="00966EAF">
        <w:t>ion</w:t>
      </w:r>
      <w:r w:rsidR="007E1445" w:rsidRPr="00966EAF">
        <w:t xml:space="preserve"> form. If this information is not added to these documents, students will be unaware of this requirement. </w:t>
      </w:r>
    </w:p>
    <w:p w14:paraId="7D0BDDC9" w14:textId="71C1756D" w:rsidR="000B341C" w:rsidRPr="00966EAF" w:rsidRDefault="000B341C" w:rsidP="007E1445">
      <w:pPr>
        <w:pStyle w:val="ListParagraph"/>
        <w:numPr>
          <w:ilvl w:val="1"/>
          <w:numId w:val="1"/>
        </w:numPr>
      </w:pPr>
      <w:r w:rsidRPr="00966EAF">
        <w:t xml:space="preserve">Acuff, Martinez, </w:t>
      </w:r>
      <w:r w:rsidRPr="00966EAF">
        <w:rPr>
          <w:b/>
          <w:bCs/>
        </w:rPr>
        <w:t xml:space="preserve">unanimously approved </w:t>
      </w:r>
      <w:r w:rsidRPr="00966EAF">
        <w:t xml:space="preserve">with </w:t>
      </w:r>
      <w:r w:rsidRPr="00966EAF">
        <w:rPr>
          <w:b/>
          <w:bCs/>
        </w:rPr>
        <w:t>four contingencie</w:t>
      </w:r>
      <w:r w:rsidR="0019651B" w:rsidRPr="00966EAF">
        <w:rPr>
          <w:b/>
          <w:bCs/>
        </w:rPr>
        <w:t>s.</w:t>
      </w:r>
      <w:r w:rsidRPr="00966EAF">
        <w:t xml:space="preserve"> </w:t>
      </w:r>
    </w:p>
    <w:p w14:paraId="0356C93D" w14:textId="2B0D4248" w:rsidR="000B341C" w:rsidRPr="00966EAF" w:rsidRDefault="000B341C" w:rsidP="000B341C">
      <w:pPr>
        <w:pStyle w:val="ListParagraph"/>
        <w:numPr>
          <w:ilvl w:val="0"/>
          <w:numId w:val="1"/>
        </w:numPr>
      </w:pPr>
      <w:r w:rsidRPr="00966EAF">
        <w:t xml:space="preserve">Ethnic Studies 3572 (existing course with GEN Theme: Migration, Mobility, and Immobility requesting 100% DL) </w:t>
      </w:r>
    </w:p>
    <w:p w14:paraId="42A99B9D" w14:textId="77777777" w:rsidR="0019651B" w:rsidRPr="00966EAF" w:rsidRDefault="0019651B" w:rsidP="00966EAF">
      <w:pPr>
        <w:numPr>
          <w:ilvl w:val="1"/>
          <w:numId w:val="1"/>
        </w:numPr>
        <w:spacing w:after="0" w:line="256" w:lineRule="auto"/>
        <w:rPr>
          <w:rFonts w:cs="Arial"/>
        </w:rPr>
      </w:pPr>
      <w:r w:rsidRPr="00966EAF">
        <w:rPr>
          <w:rFonts w:cs="Arial"/>
          <w:b/>
          <w:bCs/>
        </w:rPr>
        <w:t>Contingency:</w:t>
      </w:r>
      <w:r w:rsidRPr="00966EAF">
        <w:rPr>
          <w:rFonts w:cs="Arial"/>
        </w:rPr>
        <w:t xml:space="preserve"> As of August 29</w:t>
      </w:r>
      <w:r w:rsidRPr="00966EAF">
        <w:rPr>
          <w:rFonts w:cs="Arial"/>
          <w:vertAlign w:val="superscript"/>
        </w:rPr>
        <w:t>th</w:t>
      </w:r>
      <w:r w:rsidRPr="00966EAF">
        <w:rPr>
          <w:rFonts w:cs="Arial"/>
        </w:rPr>
        <w:t>, 2025, all syllabi must have either a link to the statements below </w:t>
      </w:r>
      <w:r w:rsidRPr="00966EAF">
        <w:rPr>
          <w:rFonts w:cs="Arial"/>
          <w:b/>
          <w:bCs/>
        </w:rPr>
        <w:t>or </w:t>
      </w:r>
      <w:r w:rsidRPr="00966EAF">
        <w:rPr>
          <w:rFonts w:cs="Arial"/>
        </w:rPr>
        <w:t xml:space="preserve">these statements written out in their entirety within the syllabus (the statement(s) in </w:t>
      </w:r>
      <w:r w:rsidRPr="00966EAF">
        <w:rPr>
          <w:rFonts w:cs="Arial"/>
          <w:b/>
          <w:bCs/>
        </w:rPr>
        <w:t xml:space="preserve">bold </w:t>
      </w:r>
      <w:r w:rsidRPr="00966EAF">
        <w:rPr>
          <w:rFonts w:cs="Arial"/>
        </w:rPr>
        <w:t xml:space="preserve">below are missing from the current syllabus). Syllabi should link to the Office of Undergraduate </w:t>
      </w:r>
      <w:r w:rsidRPr="00966EAF">
        <w:rPr>
          <w:rFonts w:cs="Arial"/>
        </w:rPr>
        <w:lastRenderedPageBreak/>
        <w:t>Education's </w:t>
      </w:r>
      <w:hyperlink r:id="rId5" w:tooltip="https://ugeducation.osu.edu/academics/syllabus-policies-statements" w:history="1">
        <w:r w:rsidRPr="00966EAF">
          <w:rPr>
            <w:rStyle w:val="Hyperlink"/>
            <w:rFonts w:cs="Arial"/>
          </w:rPr>
          <w:t>Syllabus Policies &amp; Statements webpage</w:t>
        </w:r>
      </w:hyperlink>
      <w:r w:rsidRPr="00966EAF">
        <w:rPr>
          <w:rFonts w:cs="Arial"/>
        </w:rPr>
        <w:t> and/or copy-and-paste the statements from the Office of Undergraduate Education's website.</w:t>
      </w:r>
    </w:p>
    <w:p w14:paraId="7FC3A1DC" w14:textId="77777777" w:rsidR="0019651B" w:rsidRPr="00966EAF" w:rsidRDefault="0019651B" w:rsidP="0019651B">
      <w:pPr>
        <w:numPr>
          <w:ilvl w:val="2"/>
          <w:numId w:val="1"/>
        </w:numPr>
        <w:spacing w:after="0" w:line="256" w:lineRule="auto"/>
        <w:rPr>
          <w:rFonts w:cs="Arial"/>
        </w:rPr>
      </w:pPr>
      <w:r w:rsidRPr="00966EAF">
        <w:rPr>
          <w:rFonts w:cs="Arial"/>
        </w:rPr>
        <w:t>Academic Misconduct</w:t>
      </w:r>
    </w:p>
    <w:p w14:paraId="0F256E3C" w14:textId="77777777" w:rsidR="0019651B" w:rsidRPr="00966EAF" w:rsidRDefault="0019651B" w:rsidP="0019651B">
      <w:pPr>
        <w:numPr>
          <w:ilvl w:val="2"/>
          <w:numId w:val="1"/>
        </w:numPr>
        <w:spacing w:after="0" w:line="256" w:lineRule="auto"/>
        <w:rPr>
          <w:rFonts w:cs="Arial"/>
        </w:rPr>
      </w:pPr>
      <w:r w:rsidRPr="00966EAF">
        <w:rPr>
          <w:rFonts w:cs="Arial"/>
        </w:rPr>
        <w:t>Student Life - Disability Services</w:t>
      </w:r>
    </w:p>
    <w:p w14:paraId="2A02AA45" w14:textId="77777777" w:rsidR="0019651B" w:rsidRPr="00966EAF" w:rsidRDefault="0019651B" w:rsidP="0019651B">
      <w:pPr>
        <w:numPr>
          <w:ilvl w:val="2"/>
          <w:numId w:val="1"/>
        </w:numPr>
        <w:spacing w:after="0" w:line="256" w:lineRule="auto"/>
        <w:rPr>
          <w:rFonts w:cs="Arial"/>
        </w:rPr>
      </w:pPr>
      <w:r w:rsidRPr="00966EAF">
        <w:rPr>
          <w:rFonts w:cs="Arial"/>
        </w:rPr>
        <w:t>Religious Accommodations</w:t>
      </w:r>
    </w:p>
    <w:p w14:paraId="434AF4EE" w14:textId="77777777" w:rsidR="0019651B" w:rsidRPr="00966EAF" w:rsidRDefault="0019651B" w:rsidP="0019651B">
      <w:pPr>
        <w:numPr>
          <w:ilvl w:val="2"/>
          <w:numId w:val="1"/>
        </w:numPr>
        <w:spacing w:after="0" w:line="256" w:lineRule="auto"/>
        <w:rPr>
          <w:rFonts w:cs="Arial"/>
          <w:b/>
          <w:bCs/>
        </w:rPr>
      </w:pPr>
      <w:r w:rsidRPr="00966EAF">
        <w:rPr>
          <w:rFonts w:cs="Arial"/>
          <w:b/>
          <w:bCs/>
        </w:rPr>
        <w:t>Intellectual Diversity</w:t>
      </w:r>
    </w:p>
    <w:p w14:paraId="2DA31C76" w14:textId="71F93CD9" w:rsidR="0019651B" w:rsidRPr="00966EAF" w:rsidRDefault="0019651B" w:rsidP="00966EAF">
      <w:pPr>
        <w:spacing w:after="0"/>
        <w:ind w:left="1440"/>
        <w:rPr>
          <w:rFonts w:cs="Arial"/>
        </w:rPr>
      </w:pPr>
      <w:r w:rsidRPr="00966EAF">
        <w:rPr>
          <w:rFonts w:cs="Arial"/>
        </w:rPr>
        <w:t>Instructors are welcome to include any other standard and/or recommended syllabus statements found on the Office of Undergraduate Education's webpage which they deem relevant for their course. Please also refer to this page to ensure that the Diversity</w:t>
      </w:r>
      <w:r w:rsidRPr="00966EAF">
        <w:rPr>
          <w:rFonts w:cs="Arial"/>
        </w:rPr>
        <w:t xml:space="preserve"> and Title IX</w:t>
      </w:r>
      <w:r w:rsidRPr="00966EAF">
        <w:rPr>
          <w:rFonts w:cs="Arial"/>
        </w:rPr>
        <w:t xml:space="preserve"> </w:t>
      </w:r>
      <w:r w:rsidRPr="00966EAF">
        <w:rPr>
          <w:rFonts w:cs="Arial"/>
        </w:rPr>
        <w:t>s</w:t>
      </w:r>
      <w:r w:rsidRPr="00966EAF">
        <w:rPr>
          <w:rFonts w:cs="Arial"/>
        </w:rPr>
        <w:t>tatement</w:t>
      </w:r>
      <w:r w:rsidRPr="00966EAF">
        <w:rPr>
          <w:rFonts w:cs="Arial"/>
        </w:rPr>
        <w:t xml:space="preserve">s </w:t>
      </w:r>
      <w:r w:rsidRPr="00966EAF">
        <w:rPr>
          <w:rFonts w:cs="Arial"/>
        </w:rPr>
        <w:t>on p</w:t>
      </w:r>
      <w:r w:rsidRPr="00966EAF">
        <w:rPr>
          <w:rFonts w:cs="Arial"/>
        </w:rPr>
        <w:t>p. 22-23</w:t>
      </w:r>
      <w:r w:rsidRPr="00966EAF">
        <w:rPr>
          <w:rFonts w:cs="Arial"/>
        </w:rPr>
        <w:t xml:space="preserve"> of the syllabus (now </w:t>
      </w:r>
      <w:r w:rsidRPr="00966EAF">
        <w:rPr>
          <w:rFonts w:cs="Arial"/>
        </w:rPr>
        <w:t>combined into the</w:t>
      </w:r>
      <w:r w:rsidRPr="00966EAF">
        <w:rPr>
          <w:rFonts w:cs="Arial"/>
        </w:rPr>
        <w:t xml:space="preserve"> statement on “Creating an Environment Free from Harassment, Discrimination, and Sexual Misconduct”) and all other statements are current and accurate.</w:t>
      </w:r>
    </w:p>
    <w:p w14:paraId="469D39A8" w14:textId="50B33D54" w:rsidR="000B341C" w:rsidRPr="00966EAF" w:rsidRDefault="0019651B" w:rsidP="000B341C">
      <w:pPr>
        <w:pStyle w:val="ListParagraph"/>
        <w:numPr>
          <w:ilvl w:val="1"/>
          <w:numId w:val="1"/>
        </w:numPr>
      </w:pPr>
      <w:r w:rsidRPr="00966EAF">
        <w:t xml:space="preserve">Comment: </w:t>
      </w:r>
      <w:r w:rsidR="000B341C" w:rsidRPr="00966EAF">
        <w:t>The Subcommittee notes the inclusion of a Land Acknowledgment in the syllabus</w:t>
      </w:r>
      <w:r w:rsidRPr="00966EAF">
        <w:t xml:space="preserve"> (p. 22)</w:t>
      </w:r>
      <w:r w:rsidR="000B341C" w:rsidRPr="00966EAF">
        <w:t>. As of 06/27/2025, Land Acknowledgments are no longer permissible on official university documents (including most syllabi) per the university’s SB1 Compliance website. The course instructor(s) should consult with their TIU director/chair regarding whether or not this statement may be included within the syllabus.</w:t>
      </w:r>
      <w:r w:rsidR="00945DB9" w:rsidRPr="00966EAF">
        <w:t xml:space="preserve"> </w:t>
      </w:r>
      <w:r w:rsidRPr="00966EAF">
        <w:t>Please also note that the statement includes a link to the defunct MCC</w:t>
      </w:r>
      <w:r w:rsidR="0049262A" w:rsidRPr="00966EAF">
        <w:t xml:space="preserve"> that should be removed. </w:t>
      </w:r>
    </w:p>
    <w:p w14:paraId="7A741C7B" w14:textId="1C6A070B" w:rsidR="00CB066D" w:rsidRPr="00966EAF" w:rsidRDefault="00CB066D" w:rsidP="000B341C">
      <w:pPr>
        <w:pStyle w:val="ListParagraph"/>
        <w:numPr>
          <w:ilvl w:val="1"/>
          <w:numId w:val="1"/>
        </w:numPr>
      </w:pPr>
      <w:r w:rsidRPr="00966EAF">
        <w:t xml:space="preserve">Martinez, Troyan, </w:t>
      </w:r>
      <w:r w:rsidRPr="00966EAF">
        <w:rPr>
          <w:b/>
          <w:bCs/>
        </w:rPr>
        <w:t xml:space="preserve">unanimously approved </w:t>
      </w:r>
      <w:r w:rsidRPr="00966EAF">
        <w:t xml:space="preserve">with </w:t>
      </w:r>
      <w:r w:rsidR="0019651B" w:rsidRPr="00966EAF">
        <w:rPr>
          <w:b/>
          <w:bCs/>
        </w:rPr>
        <w:t xml:space="preserve">one contingency </w:t>
      </w:r>
      <w:r w:rsidR="0019651B" w:rsidRPr="00966EAF">
        <w:t>and one</w:t>
      </w:r>
      <w:r w:rsidRPr="00966EAF">
        <w:t xml:space="preserve"> comment</w:t>
      </w:r>
      <w:r w:rsidR="0019651B" w:rsidRPr="00966EAF">
        <w:t xml:space="preserve">. </w:t>
      </w:r>
    </w:p>
    <w:p w14:paraId="23989285" w14:textId="5555056F" w:rsidR="00CB066D" w:rsidRPr="00966EAF" w:rsidRDefault="00CB066D" w:rsidP="00CB066D">
      <w:pPr>
        <w:pStyle w:val="ListParagraph"/>
        <w:numPr>
          <w:ilvl w:val="0"/>
          <w:numId w:val="1"/>
        </w:numPr>
      </w:pPr>
      <w:r w:rsidRPr="00966EAF">
        <w:t xml:space="preserve">Linguistics 3050 (new course) </w:t>
      </w:r>
    </w:p>
    <w:p w14:paraId="55BCC941" w14:textId="486E9B7F" w:rsidR="00CB066D" w:rsidRPr="00966EAF" w:rsidRDefault="0049262A" w:rsidP="00CB066D">
      <w:pPr>
        <w:pStyle w:val="ListParagraph"/>
        <w:numPr>
          <w:ilvl w:val="1"/>
          <w:numId w:val="1"/>
        </w:numPr>
      </w:pPr>
      <w:r w:rsidRPr="00966EAF">
        <w:t xml:space="preserve">Comment: </w:t>
      </w:r>
      <w:r w:rsidR="00CB066D" w:rsidRPr="00966EAF">
        <w:t xml:space="preserve">The Subcommittee noted that, due to the nature of the course, there may be an opportunity to engage in “hands on” learning that may potentially be classified as non-academic classwork. Given new standards with the Office of International Affairs, it is important to consult with them prior to international students on visas completing this type of work, as it may violate their visa. </w:t>
      </w:r>
    </w:p>
    <w:p w14:paraId="36BFF032" w14:textId="4595255B" w:rsidR="00CB066D" w:rsidRPr="00966EAF" w:rsidRDefault="0049262A" w:rsidP="00CB066D">
      <w:pPr>
        <w:pStyle w:val="ListParagraph"/>
        <w:numPr>
          <w:ilvl w:val="1"/>
          <w:numId w:val="1"/>
        </w:numPr>
      </w:pPr>
      <w:r w:rsidRPr="00966EAF">
        <w:rPr>
          <w:b/>
          <w:bCs/>
        </w:rPr>
        <w:t xml:space="preserve">Contingency: </w:t>
      </w:r>
      <w:r w:rsidR="00CB066D" w:rsidRPr="00966EAF">
        <w:t>The Subcommittee asks that the dynamics between the student groups (the ones completing the one</w:t>
      </w:r>
      <w:r w:rsidR="006654B2" w:rsidRPr="00966EAF">
        <w:t>-</w:t>
      </w:r>
      <w:r w:rsidR="00CB066D" w:rsidRPr="00966EAF">
        <w:t>hour course versus the two</w:t>
      </w:r>
      <w:r w:rsidR="006654B2" w:rsidRPr="00966EAF">
        <w:t>-</w:t>
      </w:r>
      <w:r w:rsidR="00CB066D" w:rsidRPr="00966EAF">
        <w:t xml:space="preserve">hour course) be further explained within the course syllabus. They would like to see a further explanation </w:t>
      </w:r>
      <w:proofErr w:type="gramStart"/>
      <w:r w:rsidR="00CB066D" w:rsidRPr="00966EAF">
        <w:t>on</w:t>
      </w:r>
      <w:proofErr w:type="gramEnd"/>
      <w:r w:rsidR="00CB066D" w:rsidRPr="00966EAF">
        <w:t xml:space="preserve"> the instructional differences between the two populations of students. Additionally, given the repeatability of the course, they would like to see information on how students who originally take the one-credit hour course and then repeat the course at two-credit hours will be </w:t>
      </w:r>
      <w:r w:rsidR="00CB066D" w:rsidRPr="00966EAF">
        <w:lastRenderedPageBreak/>
        <w:t xml:space="preserve">provided different coursework and what the different expectations will be for repeating students. </w:t>
      </w:r>
    </w:p>
    <w:p w14:paraId="15F3D984" w14:textId="76DB8957" w:rsidR="00CB066D" w:rsidRPr="00966EAF" w:rsidRDefault="00CB066D" w:rsidP="00CB066D">
      <w:pPr>
        <w:pStyle w:val="ListParagraph"/>
        <w:numPr>
          <w:ilvl w:val="1"/>
          <w:numId w:val="1"/>
        </w:numPr>
      </w:pPr>
      <w:proofErr w:type="gramStart"/>
      <w:r w:rsidRPr="00966EAF">
        <w:t>Acuff, Martinez,</w:t>
      </w:r>
      <w:proofErr w:type="gramEnd"/>
      <w:r w:rsidRPr="00966EAF">
        <w:t xml:space="preserve"> </w:t>
      </w:r>
      <w:r w:rsidRPr="00966EAF">
        <w:rPr>
          <w:b/>
          <w:bCs/>
        </w:rPr>
        <w:t xml:space="preserve">unanimously approved </w:t>
      </w:r>
      <w:r w:rsidRPr="00966EAF">
        <w:t xml:space="preserve">with </w:t>
      </w:r>
      <w:r w:rsidR="0049262A" w:rsidRPr="00966EAF">
        <w:t>one</w:t>
      </w:r>
      <w:r w:rsidRPr="00966EAF">
        <w:t xml:space="preserve"> comment and </w:t>
      </w:r>
      <w:r w:rsidRPr="00966EAF">
        <w:rPr>
          <w:b/>
          <w:bCs/>
        </w:rPr>
        <w:t>one contingency</w:t>
      </w:r>
      <w:r w:rsidR="0049262A" w:rsidRPr="00966EAF">
        <w:rPr>
          <w:b/>
          <w:bCs/>
        </w:rPr>
        <w:t>.</w:t>
      </w:r>
      <w:r w:rsidRPr="00966EAF">
        <w:t xml:space="preserve"> </w:t>
      </w:r>
    </w:p>
    <w:p w14:paraId="29FA7ECD" w14:textId="422C5D33" w:rsidR="00CB066D" w:rsidRPr="00966EAF" w:rsidRDefault="00CB066D" w:rsidP="00CB066D">
      <w:pPr>
        <w:pStyle w:val="ListParagraph"/>
        <w:numPr>
          <w:ilvl w:val="0"/>
          <w:numId w:val="1"/>
        </w:numPr>
      </w:pPr>
      <w:r w:rsidRPr="00966EAF">
        <w:t xml:space="preserve">Religious Studies 3681 (new course requesting GEN Theme: Health and Wellbeing) </w:t>
      </w:r>
    </w:p>
    <w:p w14:paraId="1448D820" w14:textId="32697914" w:rsidR="00CB066D" w:rsidRPr="00966EAF" w:rsidRDefault="00CB066D" w:rsidP="00CB066D">
      <w:pPr>
        <w:pStyle w:val="ListParagraph"/>
        <w:numPr>
          <w:ilvl w:val="1"/>
          <w:numId w:val="1"/>
        </w:numPr>
      </w:pPr>
      <w:proofErr w:type="gramStart"/>
      <w:r w:rsidRPr="00966EAF">
        <w:t>Troyan, Martinez,</w:t>
      </w:r>
      <w:proofErr w:type="gramEnd"/>
      <w:r w:rsidRPr="00966EAF">
        <w:t xml:space="preserve"> </w:t>
      </w:r>
      <w:r w:rsidRPr="00966EAF">
        <w:rPr>
          <w:b/>
          <w:bCs/>
        </w:rPr>
        <w:t>unanimously approved</w:t>
      </w:r>
      <w:r w:rsidR="0049262A" w:rsidRPr="00966EAF">
        <w:rPr>
          <w:b/>
          <w:bCs/>
        </w:rPr>
        <w:t>.</w:t>
      </w:r>
    </w:p>
    <w:p w14:paraId="2590E7A4" w14:textId="6D64411F" w:rsidR="00CB066D" w:rsidRPr="00966EAF" w:rsidRDefault="00CB066D" w:rsidP="00CB066D">
      <w:pPr>
        <w:pStyle w:val="ListParagraph"/>
        <w:numPr>
          <w:ilvl w:val="0"/>
          <w:numId w:val="1"/>
        </w:numPr>
      </w:pPr>
      <w:r w:rsidRPr="00966EAF">
        <w:t xml:space="preserve">Classics 2207 (existing course requesting GEN Foundation: Historical and Cultural Studies) </w:t>
      </w:r>
    </w:p>
    <w:p w14:paraId="3E833F94" w14:textId="77777777" w:rsidR="0049262A" w:rsidRPr="00966EAF" w:rsidRDefault="0049262A" w:rsidP="0049262A">
      <w:pPr>
        <w:numPr>
          <w:ilvl w:val="1"/>
          <w:numId w:val="1"/>
        </w:numPr>
        <w:spacing w:after="0" w:line="256" w:lineRule="auto"/>
        <w:rPr>
          <w:rFonts w:cs="Arial"/>
        </w:rPr>
      </w:pPr>
      <w:r w:rsidRPr="00966EAF">
        <w:rPr>
          <w:rFonts w:cs="Arial"/>
          <w:b/>
          <w:bCs/>
        </w:rPr>
        <w:t>Contingency:</w:t>
      </w:r>
      <w:r w:rsidRPr="00966EAF">
        <w:rPr>
          <w:rFonts w:cs="Arial"/>
        </w:rPr>
        <w:t xml:space="preserve"> As of August 29</w:t>
      </w:r>
      <w:r w:rsidRPr="00966EAF">
        <w:rPr>
          <w:rFonts w:cs="Arial"/>
          <w:vertAlign w:val="superscript"/>
        </w:rPr>
        <w:t>th</w:t>
      </w:r>
      <w:r w:rsidRPr="00966EAF">
        <w:rPr>
          <w:rFonts w:cs="Arial"/>
        </w:rPr>
        <w:t>, 2025, all syllabi must have either a link to the statements below </w:t>
      </w:r>
      <w:r w:rsidRPr="00966EAF">
        <w:rPr>
          <w:rFonts w:cs="Arial"/>
          <w:b/>
          <w:bCs/>
        </w:rPr>
        <w:t>or </w:t>
      </w:r>
      <w:r w:rsidRPr="00966EAF">
        <w:rPr>
          <w:rFonts w:cs="Arial"/>
        </w:rPr>
        <w:t xml:space="preserve">these statements written out in their entirety within the syllabus (the statement(s) in </w:t>
      </w:r>
      <w:r w:rsidRPr="00966EAF">
        <w:rPr>
          <w:rFonts w:cs="Arial"/>
          <w:b/>
          <w:bCs/>
        </w:rPr>
        <w:t xml:space="preserve">bold </w:t>
      </w:r>
      <w:r w:rsidRPr="00966EAF">
        <w:rPr>
          <w:rFonts w:cs="Arial"/>
        </w:rPr>
        <w:t>below are missing from the current syllabus). Syllabi should link to the Office of Undergraduate Education's </w:t>
      </w:r>
      <w:hyperlink r:id="rId6" w:tooltip="https://ugeducation.osu.edu/academics/syllabus-policies-statements" w:history="1">
        <w:r w:rsidRPr="00966EAF">
          <w:rPr>
            <w:rStyle w:val="Hyperlink"/>
            <w:rFonts w:cs="Arial"/>
          </w:rPr>
          <w:t>Syllabus Policies &amp; Statements webpage</w:t>
        </w:r>
      </w:hyperlink>
      <w:r w:rsidRPr="00966EAF">
        <w:rPr>
          <w:rFonts w:cs="Arial"/>
        </w:rPr>
        <w:t> and/or copy-and-paste the statements from the Office of Undergraduate Education's website.</w:t>
      </w:r>
    </w:p>
    <w:p w14:paraId="4C2AEFB3" w14:textId="77777777" w:rsidR="0049262A" w:rsidRPr="00966EAF" w:rsidRDefault="0049262A" w:rsidP="0049262A">
      <w:pPr>
        <w:numPr>
          <w:ilvl w:val="2"/>
          <w:numId w:val="1"/>
        </w:numPr>
        <w:spacing w:after="0" w:line="256" w:lineRule="auto"/>
        <w:rPr>
          <w:rFonts w:cs="Arial"/>
        </w:rPr>
      </w:pPr>
      <w:r w:rsidRPr="00966EAF">
        <w:rPr>
          <w:rFonts w:cs="Arial"/>
        </w:rPr>
        <w:t>Academic Misconduct</w:t>
      </w:r>
    </w:p>
    <w:p w14:paraId="263A8530" w14:textId="77777777" w:rsidR="0049262A" w:rsidRPr="00966EAF" w:rsidRDefault="0049262A" w:rsidP="0049262A">
      <w:pPr>
        <w:numPr>
          <w:ilvl w:val="2"/>
          <w:numId w:val="1"/>
        </w:numPr>
        <w:spacing w:after="0" w:line="256" w:lineRule="auto"/>
        <w:rPr>
          <w:rFonts w:cs="Arial"/>
        </w:rPr>
      </w:pPr>
      <w:r w:rsidRPr="00966EAF">
        <w:rPr>
          <w:rFonts w:cs="Arial"/>
        </w:rPr>
        <w:t>Student Life - Disability Services</w:t>
      </w:r>
    </w:p>
    <w:p w14:paraId="2E145024" w14:textId="77777777" w:rsidR="0049262A" w:rsidRPr="00966EAF" w:rsidRDefault="0049262A" w:rsidP="0049262A">
      <w:pPr>
        <w:numPr>
          <w:ilvl w:val="2"/>
          <w:numId w:val="1"/>
        </w:numPr>
        <w:spacing w:after="0" w:line="256" w:lineRule="auto"/>
        <w:rPr>
          <w:rFonts w:cs="Arial"/>
        </w:rPr>
      </w:pPr>
      <w:r w:rsidRPr="00966EAF">
        <w:rPr>
          <w:rFonts w:cs="Arial"/>
        </w:rPr>
        <w:t>Religious Accommodations</w:t>
      </w:r>
    </w:p>
    <w:p w14:paraId="5C53366A" w14:textId="77777777" w:rsidR="0049262A" w:rsidRPr="00966EAF" w:rsidRDefault="0049262A" w:rsidP="0049262A">
      <w:pPr>
        <w:numPr>
          <w:ilvl w:val="2"/>
          <w:numId w:val="1"/>
        </w:numPr>
        <w:spacing w:after="0" w:line="256" w:lineRule="auto"/>
        <w:rPr>
          <w:rFonts w:cs="Arial"/>
          <w:b/>
          <w:bCs/>
        </w:rPr>
      </w:pPr>
      <w:r w:rsidRPr="00966EAF">
        <w:rPr>
          <w:rFonts w:cs="Arial"/>
          <w:b/>
          <w:bCs/>
        </w:rPr>
        <w:t>Intellectual Diversity</w:t>
      </w:r>
    </w:p>
    <w:p w14:paraId="6F16C416" w14:textId="2F8C411A" w:rsidR="0049262A" w:rsidRPr="00966EAF" w:rsidRDefault="0049262A" w:rsidP="0049262A">
      <w:pPr>
        <w:pStyle w:val="ListParagraph"/>
        <w:ind w:left="1440"/>
        <w:rPr>
          <w:rFonts w:cs="Arial"/>
        </w:rPr>
      </w:pPr>
      <w:r w:rsidRPr="00966EAF">
        <w:rPr>
          <w:rFonts w:cs="Arial"/>
        </w:rPr>
        <w:t>Instructors are welcome to include any other standard and/or recommended syllabus statements found on the Office of Undergraduate Education's webpage which they deem relevant for their course. Please also refer to this page to ensure that any statements written out in the syllabus are current and accurate.</w:t>
      </w:r>
    </w:p>
    <w:p w14:paraId="71C5CE7F" w14:textId="40D07C5A" w:rsidR="00CB066D" w:rsidRPr="00966EAF" w:rsidRDefault="00CB066D" w:rsidP="00CB066D">
      <w:pPr>
        <w:pStyle w:val="ListParagraph"/>
        <w:numPr>
          <w:ilvl w:val="1"/>
          <w:numId w:val="1"/>
        </w:numPr>
      </w:pPr>
      <w:r w:rsidRPr="00966EAF">
        <w:t xml:space="preserve">Martinez, Acuff, </w:t>
      </w:r>
      <w:r w:rsidRPr="00966EAF">
        <w:rPr>
          <w:b/>
          <w:bCs/>
        </w:rPr>
        <w:t xml:space="preserve">unanimously approved </w:t>
      </w:r>
      <w:r w:rsidRPr="00966EAF">
        <w:t xml:space="preserve">with </w:t>
      </w:r>
      <w:r w:rsidRPr="00966EAF">
        <w:rPr>
          <w:b/>
          <w:bCs/>
        </w:rPr>
        <w:t>one</w:t>
      </w:r>
      <w:r w:rsidRPr="00966EAF">
        <w:t xml:space="preserve"> </w:t>
      </w:r>
      <w:r w:rsidR="0049262A" w:rsidRPr="00966EAF">
        <w:rPr>
          <w:b/>
          <w:bCs/>
        </w:rPr>
        <w:t>contingency</w:t>
      </w:r>
      <w:r w:rsidR="0049262A" w:rsidRPr="00966EAF">
        <w:t>.</w:t>
      </w:r>
    </w:p>
    <w:p w14:paraId="69FAC931" w14:textId="475BC632" w:rsidR="00CB066D" w:rsidRPr="00966EAF" w:rsidRDefault="00CB066D" w:rsidP="00CB066D">
      <w:pPr>
        <w:pStyle w:val="ListParagraph"/>
        <w:numPr>
          <w:ilvl w:val="0"/>
          <w:numId w:val="1"/>
        </w:numPr>
      </w:pPr>
      <w:r w:rsidRPr="00966EAF">
        <w:t xml:space="preserve">Classics 3191 (new course) </w:t>
      </w:r>
    </w:p>
    <w:p w14:paraId="72074925" w14:textId="5C090D91" w:rsidR="00210F79" w:rsidRPr="00966EAF" w:rsidRDefault="00210F79" w:rsidP="00210F79">
      <w:pPr>
        <w:pStyle w:val="ListParagraph"/>
        <w:numPr>
          <w:ilvl w:val="1"/>
          <w:numId w:val="1"/>
        </w:numPr>
      </w:pPr>
      <w:r w:rsidRPr="00966EAF">
        <w:t xml:space="preserve">The Subcommittee noted that, on page 2 of the syllabus, it is </w:t>
      </w:r>
      <w:r w:rsidR="0080120D" w:rsidRPr="00966EAF">
        <w:t xml:space="preserve">written </w:t>
      </w:r>
      <w:r w:rsidRPr="00966EAF">
        <w:t xml:space="preserve">that one credit hour of work is equal to one hour of internship per week. They would, therefore, like the instructor to clarify where the remaining contact hours will occur. As a reminder, for every 1 credit hour, a student is expected to complete 3 hours of total work. As an example, if a student is taking 3 credit hours, a model that could be used would be to have a student complete 6 hours of internship per week and 3 hours of out-of-classroom assignments/assessments per week. Regardless of how the instructor wishes to divide the hours, there should be 3 total hours per credit hour each week of the semester. </w:t>
      </w:r>
    </w:p>
    <w:p w14:paraId="7B8EE592" w14:textId="006AE30C" w:rsidR="00CB066D" w:rsidRPr="00966EAF" w:rsidRDefault="00210F79" w:rsidP="00CB066D">
      <w:pPr>
        <w:pStyle w:val="ListParagraph"/>
        <w:numPr>
          <w:ilvl w:val="1"/>
          <w:numId w:val="1"/>
        </w:numPr>
      </w:pPr>
      <w:r w:rsidRPr="00966EAF">
        <w:t xml:space="preserve">The Subcommittee asks that the department seek concurrence from the Department of History and the Department of History of Art. </w:t>
      </w:r>
    </w:p>
    <w:p w14:paraId="0821E951" w14:textId="625A6C75" w:rsidR="00210F79" w:rsidRPr="00966EAF" w:rsidRDefault="00210F79" w:rsidP="00CB066D">
      <w:pPr>
        <w:pStyle w:val="ListParagraph"/>
        <w:numPr>
          <w:ilvl w:val="1"/>
          <w:numId w:val="1"/>
        </w:numPr>
      </w:pPr>
      <w:r w:rsidRPr="00966EAF">
        <w:lastRenderedPageBreak/>
        <w:t>The Subcommittee would like to see an example course calendar that further breaks down a student’s required tasks for the week. While they appreciate that the internship experience will vary based on the needs of the museum, they are currently unable to properly assess what types of tasks students will be completing and if these will equate to proper credit hours.</w:t>
      </w:r>
    </w:p>
    <w:p w14:paraId="2B9338ED" w14:textId="41FFBD37" w:rsidR="00210F79" w:rsidRPr="00966EAF" w:rsidRDefault="00210F79" w:rsidP="00CB066D">
      <w:pPr>
        <w:pStyle w:val="ListParagraph"/>
        <w:numPr>
          <w:ilvl w:val="1"/>
          <w:numId w:val="1"/>
        </w:numPr>
      </w:pPr>
      <w:r w:rsidRPr="00966EAF">
        <w:t xml:space="preserve">Bernadette Vankeerbergen, Assistant Dean for Curriculum, has asked that the Subcommittee share an example from the School of Earth Sciences for what an internship at an on-campus museum may potentially look like. She notes that this is merely an example, and </w:t>
      </w:r>
      <w:r w:rsidR="0080120D" w:rsidRPr="00966EAF">
        <w:t xml:space="preserve">the Dept of Classics </w:t>
      </w:r>
      <w:r w:rsidRPr="00966EAF">
        <w:t xml:space="preserve">should only use this document </w:t>
      </w:r>
      <w:r w:rsidR="0080120D" w:rsidRPr="00966EAF">
        <w:t>if it is helpful for your purposes</w:t>
      </w:r>
      <w:r w:rsidRPr="00966EAF">
        <w:t xml:space="preserve">. You may find that example </w:t>
      </w:r>
      <w:hyperlink r:id="rId7" w:history="1">
        <w:r w:rsidRPr="00966EAF">
          <w:rPr>
            <w:rStyle w:val="Hyperlink"/>
          </w:rPr>
          <w:t>here</w:t>
        </w:r>
      </w:hyperlink>
      <w:r w:rsidRPr="00966EAF">
        <w:t xml:space="preserve">.  </w:t>
      </w:r>
    </w:p>
    <w:p w14:paraId="5EA8B700" w14:textId="46B0E16D" w:rsidR="0049262A" w:rsidRPr="00966EAF" w:rsidRDefault="0049262A" w:rsidP="0049262A">
      <w:pPr>
        <w:pStyle w:val="ListParagraph"/>
        <w:numPr>
          <w:ilvl w:val="1"/>
          <w:numId w:val="1"/>
        </w:numPr>
      </w:pPr>
      <w:r w:rsidRPr="00966EAF">
        <w:t>Instructors are welcome to include any standard and/or recommended syllabus statements found on the Office of Undergraduate Education's webpage which they deem relevant for their course. Please refer to this page to ensure that the Title IX</w:t>
      </w:r>
      <w:r w:rsidRPr="00966EAF">
        <w:t xml:space="preserve"> (</w:t>
      </w:r>
      <w:r w:rsidRPr="00966EAF">
        <w:t xml:space="preserve">now the statement on “Creating an Environment Free from Harassment, Discrimination, and Sexual Misconduct”) </w:t>
      </w:r>
      <w:r w:rsidRPr="00966EAF">
        <w:t>and Mental Health</w:t>
      </w:r>
      <w:r w:rsidRPr="00966EAF">
        <w:t xml:space="preserve"> statements on </w:t>
      </w:r>
      <w:r w:rsidRPr="00966EAF">
        <w:t>p. 5</w:t>
      </w:r>
      <w:r w:rsidRPr="00966EAF">
        <w:t xml:space="preserve"> of the syllabus are current and accurate.</w:t>
      </w:r>
    </w:p>
    <w:p w14:paraId="48ECC50E" w14:textId="3AF277EA" w:rsidR="00210F79" w:rsidRPr="00966EAF" w:rsidRDefault="00210F79" w:rsidP="00CB066D">
      <w:pPr>
        <w:pStyle w:val="ListParagraph"/>
        <w:numPr>
          <w:ilvl w:val="1"/>
          <w:numId w:val="1"/>
        </w:numPr>
      </w:pPr>
      <w:r w:rsidRPr="00966EAF">
        <w:t xml:space="preserve">The Subcommittee asks that a cover letter be submitted which details all changes made as a result of their feedback. </w:t>
      </w:r>
    </w:p>
    <w:p w14:paraId="2C71BD29" w14:textId="31CFB17E" w:rsidR="00210F79" w:rsidRPr="00966EAF" w:rsidRDefault="00210F79" w:rsidP="00CB066D">
      <w:pPr>
        <w:pStyle w:val="ListParagraph"/>
        <w:numPr>
          <w:ilvl w:val="1"/>
          <w:numId w:val="1"/>
        </w:numPr>
      </w:pPr>
      <w:r w:rsidRPr="00966EAF">
        <w:rPr>
          <w:b/>
          <w:bCs/>
        </w:rPr>
        <w:t xml:space="preserve">Declined to Vote </w:t>
      </w:r>
    </w:p>
    <w:p w14:paraId="113F3BC1" w14:textId="7606968B" w:rsidR="001B1A4F" w:rsidRPr="00966EAF" w:rsidRDefault="001B1A4F" w:rsidP="00966EAF">
      <w:pPr>
        <w:pStyle w:val="ListParagraph"/>
        <w:numPr>
          <w:ilvl w:val="0"/>
          <w:numId w:val="1"/>
        </w:numPr>
        <w:spacing w:after="0"/>
      </w:pPr>
      <w:r w:rsidRPr="00966EAF">
        <w:t>WGSS 3303 (existing course with GEN Theme: Citizenship for a Diverse and Just World requesting a level change from 4000 to 3000)</w:t>
      </w:r>
    </w:p>
    <w:p w14:paraId="4300CC74" w14:textId="1FE78C4D" w:rsidR="0049262A" w:rsidRPr="00966EAF" w:rsidRDefault="0049262A" w:rsidP="00966EAF">
      <w:pPr>
        <w:numPr>
          <w:ilvl w:val="1"/>
          <w:numId w:val="1"/>
        </w:numPr>
        <w:spacing w:after="0" w:line="256" w:lineRule="auto"/>
        <w:rPr>
          <w:rFonts w:cs="Arial"/>
        </w:rPr>
      </w:pPr>
      <w:r w:rsidRPr="00966EAF">
        <w:rPr>
          <w:rFonts w:cs="Arial"/>
          <w:b/>
          <w:bCs/>
        </w:rPr>
        <w:t>Contingency</w:t>
      </w:r>
      <w:r w:rsidRPr="00966EAF">
        <w:rPr>
          <w:rFonts w:cs="Arial"/>
        </w:rPr>
        <w:t xml:space="preserve">: </w:t>
      </w:r>
      <w:r w:rsidRPr="00966EAF">
        <w:rPr>
          <w:rFonts w:cs="Arial"/>
        </w:rPr>
        <w:t>As of August 29</w:t>
      </w:r>
      <w:r w:rsidRPr="00966EAF">
        <w:rPr>
          <w:rFonts w:cs="Arial"/>
          <w:vertAlign w:val="superscript"/>
        </w:rPr>
        <w:t>th</w:t>
      </w:r>
      <w:r w:rsidRPr="00966EAF">
        <w:rPr>
          <w:rFonts w:cs="Arial"/>
        </w:rPr>
        <w:t>, 2025, all syllabi must have either a link to the statements below </w:t>
      </w:r>
      <w:r w:rsidRPr="00966EAF">
        <w:rPr>
          <w:rFonts w:cs="Arial"/>
          <w:b/>
          <w:bCs/>
        </w:rPr>
        <w:t>or </w:t>
      </w:r>
      <w:r w:rsidRPr="00966EAF">
        <w:rPr>
          <w:rFonts w:cs="Arial"/>
        </w:rPr>
        <w:t xml:space="preserve">these statements written out in their entirety within the syllabus (the statement(s) in </w:t>
      </w:r>
      <w:r w:rsidRPr="00966EAF">
        <w:rPr>
          <w:rFonts w:cs="Arial"/>
          <w:b/>
          <w:bCs/>
        </w:rPr>
        <w:t xml:space="preserve">bold </w:t>
      </w:r>
      <w:r w:rsidRPr="00966EAF">
        <w:rPr>
          <w:rFonts w:cs="Arial"/>
        </w:rPr>
        <w:t xml:space="preserve">below are missing </w:t>
      </w:r>
      <w:r w:rsidRPr="00966EAF">
        <w:rPr>
          <w:rFonts w:cs="Arial"/>
        </w:rPr>
        <w:t>or outdated in</w:t>
      </w:r>
      <w:r w:rsidRPr="00966EAF">
        <w:rPr>
          <w:rFonts w:cs="Arial"/>
        </w:rPr>
        <w:t xml:space="preserve"> the current syllabus). Syllabi should link to the Office of Undergraduate Education's </w:t>
      </w:r>
      <w:hyperlink r:id="rId8" w:tooltip="https://ugeducation.osu.edu/academics/syllabus-policies-statements" w:history="1">
        <w:r w:rsidRPr="00966EAF">
          <w:rPr>
            <w:rStyle w:val="Hyperlink"/>
            <w:rFonts w:cs="Arial"/>
          </w:rPr>
          <w:t>Syllabus Policies &amp; Statements webpage</w:t>
        </w:r>
      </w:hyperlink>
      <w:r w:rsidRPr="00966EAF">
        <w:rPr>
          <w:rFonts w:cs="Arial"/>
        </w:rPr>
        <w:t> and/or copy-and-paste the statements from the Office of Undergraduate Education's website.</w:t>
      </w:r>
    </w:p>
    <w:p w14:paraId="10B04507" w14:textId="77777777" w:rsidR="0049262A" w:rsidRPr="00966EAF" w:rsidRDefault="0049262A" w:rsidP="0049262A">
      <w:pPr>
        <w:numPr>
          <w:ilvl w:val="2"/>
          <w:numId w:val="1"/>
        </w:numPr>
        <w:spacing w:after="0" w:line="256" w:lineRule="auto"/>
        <w:rPr>
          <w:rFonts w:cs="Arial"/>
        </w:rPr>
      </w:pPr>
      <w:r w:rsidRPr="00966EAF">
        <w:rPr>
          <w:rFonts w:cs="Arial"/>
        </w:rPr>
        <w:t>Academic Misconduct</w:t>
      </w:r>
    </w:p>
    <w:p w14:paraId="5554CA93" w14:textId="77777777" w:rsidR="0049262A" w:rsidRPr="00966EAF" w:rsidRDefault="0049262A" w:rsidP="0049262A">
      <w:pPr>
        <w:numPr>
          <w:ilvl w:val="2"/>
          <w:numId w:val="1"/>
        </w:numPr>
        <w:spacing w:after="0" w:line="256" w:lineRule="auto"/>
        <w:rPr>
          <w:rFonts w:cs="Arial"/>
          <w:b/>
          <w:bCs/>
        </w:rPr>
      </w:pPr>
      <w:r w:rsidRPr="00966EAF">
        <w:rPr>
          <w:rFonts w:cs="Arial"/>
          <w:b/>
          <w:bCs/>
        </w:rPr>
        <w:t>Student Life - Disability Services</w:t>
      </w:r>
    </w:p>
    <w:p w14:paraId="30EC499D" w14:textId="3EF5C0C8" w:rsidR="0049262A" w:rsidRPr="00966EAF" w:rsidRDefault="0049262A" w:rsidP="0049262A">
      <w:pPr>
        <w:numPr>
          <w:ilvl w:val="2"/>
          <w:numId w:val="1"/>
        </w:numPr>
        <w:spacing w:after="0" w:line="256" w:lineRule="auto"/>
        <w:rPr>
          <w:rFonts w:cs="Arial"/>
          <w:b/>
          <w:bCs/>
        </w:rPr>
      </w:pPr>
      <w:r w:rsidRPr="00966EAF">
        <w:rPr>
          <w:rFonts w:cs="Arial"/>
          <w:b/>
          <w:bCs/>
        </w:rPr>
        <w:t>Religious Accommodations</w:t>
      </w:r>
      <w:r w:rsidRPr="00966EAF">
        <w:rPr>
          <w:rFonts w:cs="Arial"/>
          <w:b/>
          <w:bCs/>
        </w:rPr>
        <w:t xml:space="preserve"> </w:t>
      </w:r>
    </w:p>
    <w:p w14:paraId="73D0C833" w14:textId="77777777" w:rsidR="0049262A" w:rsidRPr="00966EAF" w:rsidRDefault="0049262A" w:rsidP="0049262A">
      <w:pPr>
        <w:numPr>
          <w:ilvl w:val="2"/>
          <w:numId w:val="1"/>
        </w:numPr>
        <w:spacing w:after="0" w:line="256" w:lineRule="auto"/>
        <w:rPr>
          <w:rFonts w:cs="Arial"/>
          <w:b/>
          <w:bCs/>
        </w:rPr>
      </w:pPr>
      <w:r w:rsidRPr="00966EAF">
        <w:rPr>
          <w:rFonts w:cs="Arial"/>
          <w:b/>
          <w:bCs/>
        </w:rPr>
        <w:t>Intellectual Diversity</w:t>
      </w:r>
    </w:p>
    <w:p w14:paraId="2B9D4743" w14:textId="37AB625F" w:rsidR="0049262A" w:rsidRPr="00966EAF" w:rsidRDefault="0049262A" w:rsidP="00966EAF">
      <w:pPr>
        <w:spacing w:after="0"/>
        <w:ind w:left="1440"/>
        <w:rPr>
          <w:rFonts w:cs="Arial"/>
        </w:rPr>
      </w:pPr>
      <w:r w:rsidRPr="00966EAF">
        <w:rPr>
          <w:rFonts w:cs="Arial"/>
        </w:rPr>
        <w:t>Instructors are welcome to include any other standard and/or recommended syllabus statements found on the Office of Undergraduate</w:t>
      </w:r>
      <w:r w:rsidR="00966EAF">
        <w:rPr>
          <w:rFonts w:cs="Arial"/>
        </w:rPr>
        <w:t xml:space="preserve"> </w:t>
      </w:r>
      <w:r w:rsidRPr="00966EAF">
        <w:rPr>
          <w:rFonts w:cs="Arial"/>
        </w:rPr>
        <w:t xml:space="preserve">Education's webpage which they deem relevant for their course. Please also refer to this page to ensure that the Diversity and Title IX statements on pp. </w:t>
      </w:r>
      <w:r w:rsidR="00966EAF" w:rsidRPr="00966EAF">
        <w:rPr>
          <w:rFonts w:cs="Arial"/>
        </w:rPr>
        <w:t>10-11</w:t>
      </w:r>
      <w:r w:rsidRPr="00966EAF">
        <w:rPr>
          <w:rFonts w:cs="Arial"/>
        </w:rPr>
        <w:t xml:space="preserve"> of the syllabus (now combined into the statement on “Creating an </w:t>
      </w:r>
      <w:r w:rsidRPr="00966EAF">
        <w:rPr>
          <w:rFonts w:cs="Arial"/>
        </w:rPr>
        <w:lastRenderedPageBreak/>
        <w:t xml:space="preserve">Environment Free from Harassment, Discrimination, and Sexual Misconduct”) and </w:t>
      </w:r>
      <w:r w:rsidR="00966EAF" w:rsidRPr="00966EAF">
        <w:rPr>
          <w:rFonts w:cs="Arial"/>
        </w:rPr>
        <w:t xml:space="preserve">the Mental Health statement (pp. 12-13) </w:t>
      </w:r>
      <w:r w:rsidRPr="00966EAF">
        <w:rPr>
          <w:rFonts w:cs="Arial"/>
        </w:rPr>
        <w:t>are current and accurate.</w:t>
      </w:r>
    </w:p>
    <w:p w14:paraId="6E26CAF2" w14:textId="757D528F" w:rsidR="001B1A4F" w:rsidRPr="00966EAF" w:rsidRDefault="00966EAF" w:rsidP="001B1A4F">
      <w:pPr>
        <w:pStyle w:val="ListParagraph"/>
        <w:numPr>
          <w:ilvl w:val="1"/>
          <w:numId w:val="1"/>
        </w:numPr>
      </w:pPr>
      <w:r w:rsidRPr="00966EAF">
        <w:t xml:space="preserve">Comment: </w:t>
      </w:r>
      <w:r w:rsidR="004A4A12" w:rsidRPr="00966EAF">
        <w:t>The</w:t>
      </w:r>
      <w:r w:rsidR="001B1A4F" w:rsidRPr="00966EAF">
        <w:t xml:space="preserve"> Subcommittee notes the inclusion of a Land Acknowledgment on within the syllabus. As of 06/27/2025, Land Acknowledgments are no longer permissible on official university documents (including most syllabi) per the university’s SB1 Compliance website. The course instructor(s) should consult with their TIU director/chair regarding whether or not this statement may be included within the syllabus.</w:t>
      </w:r>
      <w:r w:rsidR="0049262A" w:rsidRPr="00966EAF">
        <w:t xml:space="preserve"> </w:t>
      </w:r>
      <w:r w:rsidR="0049262A" w:rsidRPr="00966EAF">
        <w:t>Please also note that the statement includes a link to the defunct MCC that should be removed.</w:t>
      </w:r>
    </w:p>
    <w:p w14:paraId="107670C4" w14:textId="44D8C9A2" w:rsidR="004A4A12" w:rsidRPr="00966EAF" w:rsidRDefault="004A4A12" w:rsidP="001B1A4F">
      <w:pPr>
        <w:pStyle w:val="ListParagraph"/>
        <w:numPr>
          <w:ilvl w:val="1"/>
          <w:numId w:val="1"/>
        </w:numPr>
      </w:pPr>
      <w:r w:rsidRPr="00966EAF">
        <w:t xml:space="preserve">Acuff, Troyan, </w:t>
      </w:r>
      <w:r w:rsidRPr="00966EAF">
        <w:rPr>
          <w:b/>
          <w:bCs/>
        </w:rPr>
        <w:t xml:space="preserve">unanimously approved </w:t>
      </w:r>
      <w:r w:rsidRPr="00966EAF">
        <w:t xml:space="preserve">with </w:t>
      </w:r>
      <w:r w:rsidR="00966EAF" w:rsidRPr="00966EAF">
        <w:t>one</w:t>
      </w:r>
      <w:r w:rsidRPr="00966EAF">
        <w:t xml:space="preserve"> comment</w:t>
      </w:r>
      <w:r w:rsidR="00966EAF" w:rsidRPr="00966EAF">
        <w:t xml:space="preserve"> and </w:t>
      </w:r>
      <w:r w:rsidR="00966EAF" w:rsidRPr="00966EAF">
        <w:rPr>
          <w:b/>
          <w:bCs/>
        </w:rPr>
        <w:t xml:space="preserve">one contingency. </w:t>
      </w:r>
    </w:p>
    <w:sectPr w:rsidR="004A4A12" w:rsidRPr="00966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A2BAB"/>
    <w:multiLevelType w:val="hybridMultilevel"/>
    <w:tmpl w:val="B8483A1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975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0E61D6D"/>
    <w:multiLevelType w:val="hybridMultilevel"/>
    <w:tmpl w:val="1ED8B6B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739550">
    <w:abstractNumId w:val="2"/>
  </w:num>
  <w:num w:numId="2" w16cid:durableId="1545212597">
    <w:abstractNumId w:val="0"/>
  </w:num>
  <w:num w:numId="3" w16cid:durableId="764568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5"/>
    <w:rsid w:val="00077D50"/>
    <w:rsid w:val="000B341C"/>
    <w:rsid w:val="0019651B"/>
    <w:rsid w:val="001B1A4F"/>
    <w:rsid w:val="002067E7"/>
    <w:rsid w:val="00210F79"/>
    <w:rsid w:val="00244F0C"/>
    <w:rsid w:val="002744ED"/>
    <w:rsid w:val="003E730D"/>
    <w:rsid w:val="0049262A"/>
    <w:rsid w:val="004A4A12"/>
    <w:rsid w:val="004B2235"/>
    <w:rsid w:val="006654B2"/>
    <w:rsid w:val="006730F4"/>
    <w:rsid w:val="007E1445"/>
    <w:rsid w:val="0080120D"/>
    <w:rsid w:val="008B58C5"/>
    <w:rsid w:val="00945DB9"/>
    <w:rsid w:val="00966EAF"/>
    <w:rsid w:val="00BC052C"/>
    <w:rsid w:val="00CB066D"/>
    <w:rsid w:val="00DB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711F"/>
  <w15:chartTrackingRefBased/>
  <w15:docId w15:val="{2D35657C-8E78-491E-AA23-76F73C40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235"/>
    <w:rPr>
      <w:rFonts w:eastAsiaTheme="majorEastAsia" w:cstheme="majorBidi"/>
      <w:color w:val="272727" w:themeColor="text1" w:themeTint="D8"/>
    </w:rPr>
  </w:style>
  <w:style w:type="paragraph" w:styleId="Title">
    <w:name w:val="Title"/>
    <w:basedOn w:val="Normal"/>
    <w:next w:val="Normal"/>
    <w:link w:val="TitleChar"/>
    <w:uiPriority w:val="10"/>
    <w:qFormat/>
    <w:rsid w:val="004B2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235"/>
    <w:pPr>
      <w:spacing w:before="160"/>
      <w:jc w:val="center"/>
    </w:pPr>
    <w:rPr>
      <w:i/>
      <w:iCs/>
      <w:color w:val="404040" w:themeColor="text1" w:themeTint="BF"/>
    </w:rPr>
  </w:style>
  <w:style w:type="character" w:customStyle="1" w:styleId="QuoteChar">
    <w:name w:val="Quote Char"/>
    <w:basedOn w:val="DefaultParagraphFont"/>
    <w:link w:val="Quote"/>
    <w:uiPriority w:val="29"/>
    <w:rsid w:val="004B2235"/>
    <w:rPr>
      <w:i/>
      <w:iCs/>
      <w:color w:val="404040" w:themeColor="text1" w:themeTint="BF"/>
    </w:rPr>
  </w:style>
  <w:style w:type="paragraph" w:styleId="ListParagraph">
    <w:name w:val="List Paragraph"/>
    <w:basedOn w:val="Normal"/>
    <w:uiPriority w:val="34"/>
    <w:qFormat/>
    <w:rsid w:val="004B2235"/>
    <w:pPr>
      <w:ind w:left="720"/>
      <w:contextualSpacing/>
    </w:pPr>
  </w:style>
  <w:style w:type="character" w:styleId="IntenseEmphasis">
    <w:name w:val="Intense Emphasis"/>
    <w:basedOn w:val="DefaultParagraphFont"/>
    <w:uiPriority w:val="21"/>
    <w:qFormat/>
    <w:rsid w:val="004B2235"/>
    <w:rPr>
      <w:i/>
      <w:iCs/>
      <w:color w:val="0F4761" w:themeColor="accent1" w:themeShade="BF"/>
    </w:rPr>
  </w:style>
  <w:style w:type="paragraph" w:styleId="IntenseQuote">
    <w:name w:val="Intense Quote"/>
    <w:basedOn w:val="Normal"/>
    <w:next w:val="Normal"/>
    <w:link w:val="IntenseQuoteChar"/>
    <w:uiPriority w:val="30"/>
    <w:qFormat/>
    <w:rsid w:val="004B2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235"/>
    <w:rPr>
      <w:i/>
      <w:iCs/>
      <w:color w:val="0F4761" w:themeColor="accent1" w:themeShade="BF"/>
    </w:rPr>
  </w:style>
  <w:style w:type="character" w:styleId="IntenseReference">
    <w:name w:val="Intense Reference"/>
    <w:basedOn w:val="DefaultParagraphFont"/>
    <w:uiPriority w:val="32"/>
    <w:qFormat/>
    <w:rsid w:val="004B2235"/>
    <w:rPr>
      <w:b/>
      <w:bCs/>
      <w:smallCaps/>
      <w:color w:val="0F4761" w:themeColor="accent1" w:themeShade="BF"/>
      <w:spacing w:val="5"/>
    </w:rPr>
  </w:style>
  <w:style w:type="character" w:styleId="Hyperlink">
    <w:name w:val="Hyperlink"/>
    <w:basedOn w:val="DefaultParagraphFont"/>
    <w:uiPriority w:val="99"/>
    <w:unhideWhenUsed/>
    <w:rsid w:val="000B341C"/>
    <w:rPr>
      <w:color w:val="467886" w:themeColor="hyperlink"/>
      <w:u w:val="single"/>
    </w:rPr>
  </w:style>
  <w:style w:type="character" w:styleId="UnresolvedMention">
    <w:name w:val="Unresolved Mention"/>
    <w:basedOn w:val="DefaultParagraphFont"/>
    <w:uiPriority w:val="99"/>
    <w:semiHidden/>
    <w:unhideWhenUsed/>
    <w:rsid w:val="00210F79"/>
    <w:rPr>
      <w:color w:val="605E5C"/>
      <w:shd w:val="clear" w:color="auto" w:fill="E1DFDD"/>
    </w:rPr>
  </w:style>
  <w:style w:type="paragraph" w:styleId="Revision">
    <w:name w:val="Revision"/>
    <w:hidden/>
    <w:uiPriority w:val="99"/>
    <w:semiHidden/>
    <w:rsid w:val="002744ED"/>
    <w:pPr>
      <w:spacing w:after="0" w:line="240" w:lineRule="auto"/>
    </w:pPr>
  </w:style>
  <w:style w:type="character" w:styleId="CommentReference">
    <w:name w:val="annotation reference"/>
    <w:basedOn w:val="DefaultParagraphFont"/>
    <w:uiPriority w:val="99"/>
    <w:semiHidden/>
    <w:unhideWhenUsed/>
    <w:rsid w:val="00945DB9"/>
    <w:rPr>
      <w:sz w:val="16"/>
      <w:szCs w:val="16"/>
    </w:rPr>
  </w:style>
  <w:style w:type="paragraph" w:styleId="CommentText">
    <w:name w:val="annotation text"/>
    <w:basedOn w:val="Normal"/>
    <w:link w:val="CommentTextChar"/>
    <w:uiPriority w:val="99"/>
    <w:unhideWhenUsed/>
    <w:rsid w:val="00945DB9"/>
    <w:pPr>
      <w:spacing w:line="240" w:lineRule="auto"/>
    </w:pPr>
    <w:rPr>
      <w:sz w:val="20"/>
      <w:szCs w:val="20"/>
    </w:rPr>
  </w:style>
  <w:style w:type="character" w:customStyle="1" w:styleId="CommentTextChar">
    <w:name w:val="Comment Text Char"/>
    <w:basedOn w:val="DefaultParagraphFont"/>
    <w:link w:val="CommentText"/>
    <w:uiPriority w:val="99"/>
    <w:rsid w:val="00945DB9"/>
    <w:rPr>
      <w:sz w:val="20"/>
      <w:szCs w:val="20"/>
    </w:rPr>
  </w:style>
  <w:style w:type="paragraph" w:styleId="CommentSubject">
    <w:name w:val="annotation subject"/>
    <w:basedOn w:val="CommentText"/>
    <w:next w:val="CommentText"/>
    <w:link w:val="CommentSubjectChar"/>
    <w:uiPriority w:val="99"/>
    <w:semiHidden/>
    <w:unhideWhenUsed/>
    <w:rsid w:val="00945DB9"/>
    <w:rPr>
      <w:b/>
      <w:bCs/>
    </w:rPr>
  </w:style>
  <w:style w:type="character" w:customStyle="1" w:styleId="CommentSubjectChar">
    <w:name w:val="Comment Subject Char"/>
    <w:basedOn w:val="CommentTextChar"/>
    <w:link w:val="CommentSubject"/>
    <w:uiPriority w:val="99"/>
    <w:semiHidden/>
    <w:rsid w:val="00945DB9"/>
    <w:rPr>
      <w:b/>
      <w:bCs/>
      <w:sz w:val="20"/>
      <w:szCs w:val="20"/>
    </w:rPr>
  </w:style>
  <w:style w:type="character" w:styleId="FollowedHyperlink">
    <w:name w:val="FollowedHyperlink"/>
    <w:basedOn w:val="DefaultParagraphFont"/>
    <w:uiPriority w:val="99"/>
    <w:semiHidden/>
    <w:unhideWhenUsed/>
    <w:rsid w:val="008012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57920">
      <w:bodyDiv w:val="1"/>
      <w:marLeft w:val="0"/>
      <w:marRight w:val="0"/>
      <w:marTop w:val="0"/>
      <w:marBottom w:val="0"/>
      <w:divBdr>
        <w:top w:val="none" w:sz="0" w:space="0" w:color="auto"/>
        <w:left w:val="none" w:sz="0" w:space="0" w:color="auto"/>
        <w:bottom w:val="none" w:sz="0" w:space="0" w:color="auto"/>
        <w:right w:val="none" w:sz="0" w:space="0" w:color="auto"/>
      </w:divBdr>
    </w:div>
    <w:div w:id="7880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academics/syllabus-policies-statements" TargetMode="External"/><Relationship Id="rId3" Type="http://schemas.openxmlformats.org/officeDocument/2006/relationships/settings" Target="settings.xml"/><Relationship Id="rId7" Type="http://schemas.openxmlformats.org/officeDocument/2006/relationships/hyperlink" Target="https://ascnet.osu.edu/storage/request_documents/4079/Earth%20Science%205191.01%20Revised%208-28-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5" Type="http://schemas.openxmlformats.org/officeDocument/2006/relationships/hyperlink" Target="https://ugeducation.osu.edu/academics/syllabus-policies-stat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1456</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Neff, Jennifer</cp:lastModifiedBy>
  <cp:revision>2</cp:revision>
  <dcterms:created xsi:type="dcterms:W3CDTF">2025-09-08T14:47:00Z</dcterms:created>
  <dcterms:modified xsi:type="dcterms:W3CDTF">2025-09-08T14:47:00Z</dcterms:modified>
</cp:coreProperties>
</file>